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67" w:rsidRPr="00184A34" w:rsidRDefault="001133D8">
      <w:pPr>
        <w:rPr>
          <w:rFonts w:asciiTheme="majorBidi" w:hAnsiTheme="majorBidi" w:cstheme="majorBidi"/>
          <w:b/>
          <w:bCs/>
          <w:sz w:val="24"/>
          <w:szCs w:val="24"/>
        </w:rPr>
      </w:pPr>
      <w:r w:rsidRPr="00184A34">
        <w:rPr>
          <w:rFonts w:asciiTheme="majorBidi" w:hAnsiTheme="majorBidi" w:cstheme="majorBidi"/>
          <w:b/>
          <w:bCs/>
          <w:sz w:val="24"/>
          <w:szCs w:val="24"/>
        </w:rPr>
        <w:t>Affordances in the Eyes of the Observer</w:t>
      </w:r>
    </w:p>
    <w:p w:rsidR="001133D8" w:rsidRDefault="005E73BC" w:rsidP="005A5B1A">
      <w:pPr>
        <w:rPr>
          <w:rFonts w:asciiTheme="majorBidi" w:hAnsiTheme="majorBidi" w:cstheme="majorBidi"/>
          <w:sz w:val="24"/>
          <w:szCs w:val="24"/>
        </w:rPr>
      </w:pPr>
      <w:r>
        <w:rPr>
          <w:rFonts w:asciiTheme="majorBidi" w:hAnsiTheme="majorBidi" w:cstheme="majorBidi"/>
          <w:sz w:val="24"/>
          <w:szCs w:val="24"/>
        </w:rPr>
        <w:t xml:space="preserve">This theme is recurring in this week’s readings. I liked Song and Fox’s (2007) </w:t>
      </w:r>
      <w:r w:rsidR="006847E2">
        <w:rPr>
          <w:rFonts w:asciiTheme="majorBidi" w:hAnsiTheme="majorBidi" w:cstheme="majorBidi"/>
          <w:sz w:val="24"/>
          <w:szCs w:val="24"/>
        </w:rPr>
        <w:t xml:space="preserve">examples about how each of the students perceived the affordances of the handheld devices depending on their majors and needs. </w:t>
      </w:r>
      <w:proofErr w:type="spellStart"/>
      <w:r w:rsidR="001D210C">
        <w:rPr>
          <w:rFonts w:asciiTheme="majorBidi" w:hAnsiTheme="majorBidi" w:cstheme="majorBidi"/>
          <w:sz w:val="24"/>
          <w:szCs w:val="24"/>
        </w:rPr>
        <w:t>Wijekumar</w:t>
      </w:r>
      <w:proofErr w:type="spellEnd"/>
      <w:r w:rsidR="001D210C">
        <w:rPr>
          <w:rFonts w:asciiTheme="majorBidi" w:hAnsiTheme="majorBidi" w:cstheme="majorBidi"/>
          <w:sz w:val="24"/>
          <w:szCs w:val="24"/>
        </w:rPr>
        <w:t xml:space="preserve"> et al (2006) </w:t>
      </w:r>
      <w:r w:rsidR="00A549B4">
        <w:rPr>
          <w:rFonts w:asciiTheme="majorBidi" w:hAnsiTheme="majorBidi" w:cstheme="majorBidi"/>
          <w:sz w:val="24"/>
          <w:szCs w:val="24"/>
        </w:rPr>
        <w:t xml:space="preserve">discuss the affordances of a computer as perceived by K-12, undergraduate, and graduate students. </w:t>
      </w:r>
      <w:r w:rsidR="004B31C1">
        <w:rPr>
          <w:rFonts w:asciiTheme="majorBidi" w:hAnsiTheme="majorBidi" w:cstheme="majorBidi"/>
          <w:sz w:val="24"/>
          <w:szCs w:val="24"/>
        </w:rPr>
        <w:t xml:space="preserve">They explain that students see the computer as a gaming tool rather than a learning tool. </w:t>
      </w:r>
      <w:r w:rsidR="00A549B4" w:rsidRPr="00184A34">
        <w:rPr>
          <w:rFonts w:asciiTheme="majorBidi" w:hAnsiTheme="majorBidi" w:cstheme="majorBidi"/>
          <w:sz w:val="24"/>
          <w:szCs w:val="24"/>
        </w:rPr>
        <w:t xml:space="preserve">A computer that has entertainment affordances may not be perceived by the learner as a learning tool.  </w:t>
      </w:r>
      <w:r w:rsidR="007C4638">
        <w:rPr>
          <w:rFonts w:asciiTheme="majorBidi" w:hAnsiTheme="majorBidi" w:cstheme="majorBidi"/>
          <w:sz w:val="24"/>
          <w:szCs w:val="24"/>
        </w:rPr>
        <w:t>Novices and experts identify affordances of a computer differently</w:t>
      </w:r>
      <w:r w:rsidR="002C5D58">
        <w:rPr>
          <w:rFonts w:asciiTheme="majorBidi" w:hAnsiTheme="majorBidi" w:cstheme="majorBidi"/>
          <w:sz w:val="24"/>
          <w:szCs w:val="24"/>
        </w:rPr>
        <w:t xml:space="preserve">; while novices focus on one task (understanding how the </w:t>
      </w:r>
      <w:r w:rsidR="005A5B1A">
        <w:rPr>
          <w:rFonts w:asciiTheme="majorBidi" w:hAnsiTheme="majorBidi" w:cstheme="majorBidi"/>
          <w:sz w:val="24"/>
          <w:szCs w:val="24"/>
        </w:rPr>
        <w:t>technology</w:t>
      </w:r>
      <w:r w:rsidR="002C5D58">
        <w:rPr>
          <w:rFonts w:asciiTheme="majorBidi" w:hAnsiTheme="majorBidi" w:cstheme="majorBidi"/>
          <w:sz w:val="24"/>
          <w:szCs w:val="24"/>
        </w:rPr>
        <w:t xml:space="preserve"> works in order to solve the task), experts multitask </w:t>
      </w:r>
      <w:r w:rsidR="005A5B1A">
        <w:rPr>
          <w:rFonts w:asciiTheme="majorBidi" w:hAnsiTheme="majorBidi" w:cstheme="majorBidi"/>
          <w:sz w:val="24"/>
          <w:szCs w:val="24"/>
        </w:rPr>
        <w:t>when</w:t>
      </w:r>
      <w:r w:rsidR="002C5D58">
        <w:rPr>
          <w:rFonts w:asciiTheme="majorBidi" w:hAnsiTheme="majorBidi" w:cstheme="majorBidi"/>
          <w:sz w:val="24"/>
          <w:szCs w:val="24"/>
        </w:rPr>
        <w:t xml:space="preserve"> they are in a familiar environment (and so their learning is not </w:t>
      </w:r>
      <w:r w:rsidR="005A5B1A">
        <w:rPr>
          <w:rFonts w:asciiTheme="majorBidi" w:hAnsiTheme="majorBidi" w:cstheme="majorBidi"/>
          <w:sz w:val="24"/>
          <w:szCs w:val="24"/>
        </w:rPr>
        <w:t xml:space="preserve">as </w:t>
      </w:r>
      <w:r w:rsidR="002C5D58">
        <w:rPr>
          <w:rFonts w:asciiTheme="majorBidi" w:hAnsiTheme="majorBidi" w:cstheme="majorBidi"/>
          <w:sz w:val="24"/>
          <w:szCs w:val="24"/>
        </w:rPr>
        <w:t>effective</w:t>
      </w:r>
      <w:r w:rsidR="005A5B1A">
        <w:rPr>
          <w:rFonts w:asciiTheme="majorBidi" w:hAnsiTheme="majorBidi" w:cstheme="majorBidi"/>
          <w:sz w:val="24"/>
          <w:szCs w:val="24"/>
        </w:rPr>
        <w:t xml:space="preserve"> as that of the novices</w:t>
      </w:r>
      <w:r w:rsidR="002C5D58">
        <w:rPr>
          <w:rFonts w:asciiTheme="majorBidi" w:hAnsiTheme="majorBidi" w:cstheme="majorBidi"/>
          <w:sz w:val="24"/>
          <w:szCs w:val="24"/>
        </w:rPr>
        <w:t xml:space="preserve">). </w:t>
      </w:r>
      <w:r w:rsidR="004B31C1">
        <w:rPr>
          <w:rFonts w:asciiTheme="majorBidi" w:hAnsiTheme="majorBidi" w:cstheme="majorBidi"/>
          <w:sz w:val="24"/>
          <w:szCs w:val="24"/>
        </w:rPr>
        <w:t>They also explain</w:t>
      </w:r>
      <w:r w:rsidR="00A549B4" w:rsidRPr="00184A34">
        <w:rPr>
          <w:rFonts w:asciiTheme="majorBidi" w:hAnsiTheme="majorBidi" w:cstheme="majorBidi"/>
          <w:sz w:val="24"/>
          <w:szCs w:val="24"/>
        </w:rPr>
        <w:t xml:space="preserve"> </w:t>
      </w:r>
      <w:r w:rsidR="004B31C1">
        <w:rPr>
          <w:rFonts w:asciiTheme="majorBidi" w:hAnsiTheme="majorBidi" w:cstheme="majorBidi"/>
          <w:sz w:val="24"/>
          <w:szCs w:val="24"/>
        </w:rPr>
        <w:t xml:space="preserve">that </w:t>
      </w:r>
      <w:r w:rsidR="00A549B4" w:rsidRPr="00184A34">
        <w:rPr>
          <w:rFonts w:asciiTheme="majorBidi" w:hAnsiTheme="majorBidi" w:cstheme="majorBidi"/>
          <w:sz w:val="24"/>
          <w:szCs w:val="24"/>
        </w:rPr>
        <w:t>good design of a technology supported learning environment moves the learner from a game mood to a learning mood</w:t>
      </w:r>
      <w:r w:rsidR="004B31C1">
        <w:rPr>
          <w:rFonts w:asciiTheme="majorBidi" w:hAnsiTheme="majorBidi" w:cstheme="majorBidi"/>
          <w:sz w:val="24"/>
          <w:szCs w:val="24"/>
        </w:rPr>
        <w:t xml:space="preserve">. I am not sure how </w:t>
      </w:r>
      <w:proofErr w:type="spellStart"/>
      <w:r w:rsidR="004B31C1">
        <w:rPr>
          <w:rFonts w:asciiTheme="majorBidi" w:hAnsiTheme="majorBidi" w:cstheme="majorBidi"/>
          <w:sz w:val="24"/>
          <w:szCs w:val="24"/>
        </w:rPr>
        <w:t>Wijekumar</w:t>
      </w:r>
      <w:proofErr w:type="spellEnd"/>
      <w:r w:rsidR="004B31C1">
        <w:rPr>
          <w:rFonts w:asciiTheme="majorBidi" w:hAnsiTheme="majorBidi" w:cstheme="majorBidi"/>
          <w:sz w:val="24"/>
          <w:szCs w:val="24"/>
        </w:rPr>
        <w:t xml:space="preserve"> et </w:t>
      </w:r>
      <w:proofErr w:type="spellStart"/>
      <w:r w:rsidR="004B31C1">
        <w:rPr>
          <w:rFonts w:asciiTheme="majorBidi" w:hAnsiTheme="majorBidi" w:cstheme="majorBidi"/>
          <w:sz w:val="24"/>
          <w:szCs w:val="24"/>
        </w:rPr>
        <w:t>al’s</w:t>
      </w:r>
      <w:proofErr w:type="spellEnd"/>
      <w:r w:rsidR="004B31C1">
        <w:rPr>
          <w:rFonts w:asciiTheme="majorBidi" w:hAnsiTheme="majorBidi" w:cstheme="majorBidi"/>
          <w:sz w:val="24"/>
          <w:szCs w:val="24"/>
        </w:rPr>
        <w:t xml:space="preserve"> culminating statement, “Addressing the affordance issue can make the difference between a future society that can innovate and produce versus people who cannot think without a game” (p. 207) fits </w:t>
      </w:r>
      <w:r w:rsidR="007C4638">
        <w:rPr>
          <w:rFonts w:asciiTheme="majorBidi" w:hAnsiTheme="majorBidi" w:cstheme="majorBidi"/>
          <w:sz w:val="24"/>
          <w:szCs w:val="24"/>
        </w:rPr>
        <w:t>into a</w:t>
      </w:r>
      <w:r w:rsidR="004B31C1">
        <w:rPr>
          <w:rFonts w:asciiTheme="majorBidi" w:hAnsiTheme="majorBidi" w:cstheme="majorBidi"/>
          <w:sz w:val="24"/>
          <w:szCs w:val="24"/>
        </w:rPr>
        <w:t xml:space="preserve"> growing </w:t>
      </w:r>
      <w:r w:rsidR="007C4638">
        <w:rPr>
          <w:rFonts w:asciiTheme="majorBidi" w:hAnsiTheme="majorBidi" w:cstheme="majorBidi"/>
          <w:sz w:val="24"/>
          <w:szCs w:val="24"/>
        </w:rPr>
        <w:t xml:space="preserve">world of gaming in education. I believe that a game that is designed in a constructive way and </w:t>
      </w:r>
      <w:r w:rsidR="002C5D58">
        <w:rPr>
          <w:rFonts w:asciiTheme="majorBidi" w:hAnsiTheme="majorBidi" w:cstheme="majorBidi"/>
          <w:sz w:val="24"/>
          <w:szCs w:val="24"/>
        </w:rPr>
        <w:t>addresses</w:t>
      </w:r>
      <w:r w:rsidR="007C4638">
        <w:rPr>
          <w:rFonts w:asciiTheme="majorBidi" w:hAnsiTheme="majorBidi" w:cstheme="majorBidi"/>
          <w:sz w:val="24"/>
          <w:szCs w:val="24"/>
        </w:rPr>
        <w:t xml:space="preserve"> cognitive affordances (such as CATS descriptors) </w:t>
      </w:r>
      <w:r w:rsidR="002C5D58">
        <w:rPr>
          <w:rFonts w:asciiTheme="majorBidi" w:hAnsiTheme="majorBidi" w:cstheme="majorBidi"/>
          <w:sz w:val="24"/>
          <w:szCs w:val="24"/>
        </w:rPr>
        <w:t>should definitely support the learning</w:t>
      </w:r>
      <w:r w:rsidR="007C4638">
        <w:rPr>
          <w:rFonts w:asciiTheme="majorBidi" w:hAnsiTheme="majorBidi" w:cstheme="majorBidi"/>
          <w:sz w:val="24"/>
          <w:szCs w:val="24"/>
        </w:rPr>
        <w:t>. After all, if gaming is this generation’s interest, then learning should be made more fun.</w:t>
      </w:r>
    </w:p>
    <w:p w:rsidR="00184A34" w:rsidRDefault="00184A34" w:rsidP="00C73E64">
      <w:pPr>
        <w:rPr>
          <w:rFonts w:asciiTheme="majorBidi" w:hAnsiTheme="majorBidi" w:cstheme="majorBidi"/>
          <w:b/>
          <w:bCs/>
          <w:sz w:val="24"/>
          <w:szCs w:val="24"/>
        </w:rPr>
      </w:pPr>
      <w:r w:rsidRPr="00184A34">
        <w:rPr>
          <w:rFonts w:asciiTheme="majorBidi" w:hAnsiTheme="majorBidi" w:cstheme="majorBidi"/>
          <w:b/>
          <w:bCs/>
          <w:sz w:val="24"/>
          <w:szCs w:val="24"/>
        </w:rPr>
        <w:t>Affordances of Today’</w:t>
      </w:r>
      <w:r w:rsidR="005A5B1A">
        <w:rPr>
          <w:rFonts w:asciiTheme="majorBidi" w:hAnsiTheme="majorBidi" w:cstheme="majorBidi"/>
          <w:b/>
          <w:bCs/>
          <w:sz w:val="24"/>
          <w:szCs w:val="24"/>
        </w:rPr>
        <w:t>s Technologies</w:t>
      </w:r>
    </w:p>
    <w:p w:rsidR="006D26AA" w:rsidRDefault="00184A34" w:rsidP="005A5B1A">
      <w:pPr>
        <w:rPr>
          <w:rFonts w:asciiTheme="majorBidi" w:hAnsiTheme="majorBidi" w:cstheme="majorBidi"/>
          <w:sz w:val="24"/>
          <w:szCs w:val="24"/>
        </w:rPr>
      </w:pPr>
      <w:r>
        <w:rPr>
          <w:rFonts w:asciiTheme="majorBidi" w:hAnsiTheme="majorBidi" w:cstheme="majorBidi"/>
          <w:sz w:val="24"/>
          <w:szCs w:val="24"/>
        </w:rPr>
        <w:t xml:space="preserve">An interesting theme that has come up as I read three articles is how affordances of technology develop and change overtime which highlights the need of continuous research in this field. Even the CATS scale that we are working on should be modified </w:t>
      </w:r>
      <w:r w:rsidR="005A5B1A">
        <w:rPr>
          <w:rFonts w:asciiTheme="majorBidi" w:hAnsiTheme="majorBidi" w:cstheme="majorBidi"/>
          <w:sz w:val="24"/>
          <w:szCs w:val="24"/>
        </w:rPr>
        <w:t>periodically</w:t>
      </w:r>
      <w:r>
        <w:rPr>
          <w:rFonts w:asciiTheme="majorBidi" w:hAnsiTheme="majorBidi" w:cstheme="majorBidi"/>
          <w:sz w:val="24"/>
          <w:szCs w:val="24"/>
        </w:rPr>
        <w:t xml:space="preserve"> to include the affordances of the technologies being evaluated at a certain point in the future. Song and Fox </w:t>
      </w:r>
      <w:r w:rsidR="006D26AA">
        <w:rPr>
          <w:rFonts w:asciiTheme="majorBidi" w:hAnsiTheme="majorBidi" w:cstheme="majorBidi"/>
          <w:sz w:val="24"/>
          <w:szCs w:val="24"/>
        </w:rPr>
        <w:t xml:space="preserve">(2007) </w:t>
      </w:r>
      <w:r>
        <w:rPr>
          <w:rFonts w:asciiTheme="majorBidi" w:hAnsiTheme="majorBidi" w:cstheme="majorBidi"/>
          <w:sz w:val="24"/>
          <w:szCs w:val="24"/>
        </w:rPr>
        <w:t>present</w:t>
      </w:r>
      <w:r w:rsidR="006D26AA">
        <w:rPr>
          <w:rFonts w:asciiTheme="majorBidi" w:hAnsiTheme="majorBidi" w:cstheme="majorBidi"/>
          <w:sz w:val="24"/>
          <w:szCs w:val="24"/>
        </w:rPr>
        <w:t xml:space="preserve"> handheld devices’ affordances as presented in a 2002 study and the finding from their 2007 study:</w:t>
      </w:r>
    </w:p>
    <w:p w:rsidR="006D26AA" w:rsidRPr="006D26AA" w:rsidRDefault="006D26AA" w:rsidP="00C73E64">
      <w:pPr>
        <w:rPr>
          <w:rFonts w:asciiTheme="majorBidi" w:hAnsiTheme="majorBidi" w:cstheme="majorBidi"/>
          <w:i/>
          <w:iCs/>
          <w:sz w:val="24"/>
          <w:szCs w:val="24"/>
        </w:rPr>
      </w:pPr>
      <w:r w:rsidRPr="006D26AA">
        <w:rPr>
          <w:rFonts w:asciiTheme="majorBidi" w:hAnsiTheme="majorBidi" w:cstheme="majorBidi"/>
          <w:i/>
          <w:iCs/>
          <w:sz w:val="24"/>
          <w:szCs w:val="24"/>
        </w:rPr>
        <w:t>Handheld devices affordances:</w:t>
      </w:r>
    </w:p>
    <w:tbl>
      <w:tblPr>
        <w:tblStyle w:val="TableGrid"/>
        <w:tblW w:w="0" w:type="auto"/>
        <w:tblLook w:val="04A0" w:firstRow="1" w:lastRow="0" w:firstColumn="1" w:lastColumn="0" w:noHBand="0" w:noVBand="1"/>
      </w:tblPr>
      <w:tblGrid>
        <w:gridCol w:w="4788"/>
        <w:gridCol w:w="4788"/>
      </w:tblGrid>
      <w:tr w:rsidR="006D26AA" w:rsidRPr="006D26AA" w:rsidTr="006D26AA">
        <w:tc>
          <w:tcPr>
            <w:tcW w:w="4788" w:type="dxa"/>
          </w:tcPr>
          <w:p w:rsidR="006D26AA" w:rsidRPr="006D26AA" w:rsidRDefault="006D26AA" w:rsidP="00C73E64">
            <w:pPr>
              <w:rPr>
                <w:rFonts w:asciiTheme="majorBidi" w:hAnsiTheme="majorBidi" w:cstheme="majorBidi"/>
                <w:b/>
                <w:bCs/>
                <w:sz w:val="24"/>
                <w:szCs w:val="24"/>
              </w:rPr>
            </w:pPr>
            <w:proofErr w:type="spellStart"/>
            <w:r w:rsidRPr="006D26AA">
              <w:rPr>
                <w:rFonts w:asciiTheme="majorBidi" w:hAnsiTheme="majorBidi" w:cstheme="majorBidi"/>
                <w:b/>
                <w:bCs/>
                <w:sz w:val="24"/>
                <w:szCs w:val="24"/>
              </w:rPr>
              <w:t>Klopfer</w:t>
            </w:r>
            <w:proofErr w:type="spellEnd"/>
            <w:r w:rsidRPr="006D26AA">
              <w:rPr>
                <w:rFonts w:asciiTheme="majorBidi" w:hAnsiTheme="majorBidi" w:cstheme="majorBidi"/>
                <w:b/>
                <w:bCs/>
                <w:sz w:val="24"/>
                <w:szCs w:val="24"/>
              </w:rPr>
              <w:t>, Squire, &amp; Jenkins (2002)</w:t>
            </w:r>
          </w:p>
        </w:tc>
        <w:tc>
          <w:tcPr>
            <w:tcW w:w="4788" w:type="dxa"/>
          </w:tcPr>
          <w:p w:rsidR="006D26AA" w:rsidRPr="006D26AA" w:rsidRDefault="006D26AA" w:rsidP="00C73E64">
            <w:pPr>
              <w:rPr>
                <w:rFonts w:asciiTheme="majorBidi" w:hAnsiTheme="majorBidi" w:cstheme="majorBidi"/>
                <w:b/>
                <w:bCs/>
                <w:sz w:val="24"/>
                <w:szCs w:val="24"/>
              </w:rPr>
            </w:pPr>
            <w:r w:rsidRPr="006D26AA">
              <w:rPr>
                <w:rFonts w:asciiTheme="majorBidi" w:hAnsiTheme="majorBidi" w:cstheme="majorBidi"/>
                <w:b/>
                <w:bCs/>
                <w:sz w:val="24"/>
                <w:szCs w:val="24"/>
              </w:rPr>
              <w:t>Song &amp; Fox (2007)</w:t>
            </w:r>
          </w:p>
        </w:tc>
      </w:tr>
      <w:tr w:rsidR="006D26AA" w:rsidTr="006D26AA">
        <w:tc>
          <w:tcPr>
            <w:tcW w:w="4788" w:type="dxa"/>
          </w:tcPr>
          <w:p w:rsidR="006D26AA" w:rsidRDefault="006D26AA" w:rsidP="00C73E64">
            <w:pPr>
              <w:rPr>
                <w:rFonts w:asciiTheme="majorBidi" w:hAnsiTheme="majorBidi" w:cstheme="majorBidi"/>
                <w:sz w:val="24"/>
                <w:szCs w:val="24"/>
              </w:rPr>
            </w:pPr>
            <w:r>
              <w:rPr>
                <w:rFonts w:asciiTheme="majorBidi" w:hAnsiTheme="majorBidi" w:cstheme="majorBidi"/>
                <w:sz w:val="24"/>
                <w:szCs w:val="24"/>
              </w:rPr>
              <w:t>Portability</w:t>
            </w:r>
          </w:p>
          <w:p w:rsidR="006D26AA" w:rsidRPr="006D26AA" w:rsidRDefault="006D26AA" w:rsidP="00C73E64">
            <w:pPr>
              <w:rPr>
                <w:rFonts w:asciiTheme="majorBidi" w:hAnsiTheme="majorBidi" w:cstheme="majorBidi"/>
                <w:b/>
                <w:bCs/>
                <w:sz w:val="24"/>
                <w:szCs w:val="24"/>
              </w:rPr>
            </w:pPr>
            <w:r w:rsidRPr="006D26AA">
              <w:rPr>
                <w:rFonts w:asciiTheme="majorBidi" w:hAnsiTheme="majorBidi" w:cstheme="majorBidi"/>
                <w:b/>
                <w:bCs/>
                <w:sz w:val="24"/>
                <w:szCs w:val="24"/>
              </w:rPr>
              <w:t>Social interactivity</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Context sensitivity</w:t>
            </w:r>
          </w:p>
          <w:p w:rsidR="006D26AA" w:rsidRPr="006D26AA" w:rsidRDefault="006D26AA" w:rsidP="00C73E64">
            <w:pPr>
              <w:rPr>
                <w:rFonts w:asciiTheme="majorBidi" w:hAnsiTheme="majorBidi" w:cstheme="majorBidi"/>
                <w:b/>
                <w:bCs/>
                <w:sz w:val="24"/>
                <w:szCs w:val="24"/>
              </w:rPr>
            </w:pPr>
            <w:r w:rsidRPr="006D26AA">
              <w:rPr>
                <w:rFonts w:asciiTheme="majorBidi" w:hAnsiTheme="majorBidi" w:cstheme="majorBidi"/>
                <w:b/>
                <w:bCs/>
                <w:sz w:val="24"/>
                <w:szCs w:val="24"/>
              </w:rPr>
              <w:t>Connectivity</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 xml:space="preserve">Individuality </w:t>
            </w:r>
          </w:p>
        </w:tc>
        <w:tc>
          <w:tcPr>
            <w:tcW w:w="4788" w:type="dxa"/>
          </w:tcPr>
          <w:p w:rsidR="006D26AA" w:rsidRDefault="006D26AA" w:rsidP="00C73E64">
            <w:pPr>
              <w:rPr>
                <w:rFonts w:asciiTheme="majorBidi" w:hAnsiTheme="majorBidi" w:cstheme="majorBidi"/>
                <w:sz w:val="24"/>
                <w:szCs w:val="24"/>
              </w:rPr>
            </w:pPr>
            <w:r>
              <w:rPr>
                <w:rFonts w:asciiTheme="majorBidi" w:hAnsiTheme="majorBidi" w:cstheme="majorBidi"/>
                <w:sz w:val="24"/>
                <w:szCs w:val="24"/>
              </w:rPr>
              <w:t>Revision</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Reference</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Multimedia collection</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Multimedia access</w:t>
            </w:r>
          </w:p>
          <w:p w:rsidR="006D26AA" w:rsidRPr="006D26AA" w:rsidRDefault="006D26AA" w:rsidP="00C73E64">
            <w:pPr>
              <w:rPr>
                <w:rFonts w:asciiTheme="majorBidi" w:hAnsiTheme="majorBidi" w:cstheme="majorBidi"/>
                <w:b/>
                <w:bCs/>
                <w:sz w:val="24"/>
                <w:szCs w:val="24"/>
              </w:rPr>
            </w:pPr>
            <w:r w:rsidRPr="006D26AA">
              <w:rPr>
                <w:rFonts w:asciiTheme="majorBidi" w:hAnsiTheme="majorBidi" w:cstheme="majorBidi"/>
                <w:b/>
                <w:bCs/>
                <w:sz w:val="24"/>
                <w:szCs w:val="24"/>
              </w:rPr>
              <w:t>Social interaction</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 xml:space="preserve">Managing </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Data processing</w:t>
            </w:r>
          </w:p>
          <w:p w:rsidR="006D26AA" w:rsidRPr="006D26AA" w:rsidRDefault="006D26AA" w:rsidP="00C73E64">
            <w:pPr>
              <w:rPr>
                <w:rFonts w:asciiTheme="majorBidi" w:hAnsiTheme="majorBidi" w:cstheme="majorBidi"/>
                <w:b/>
                <w:bCs/>
                <w:sz w:val="24"/>
                <w:szCs w:val="24"/>
              </w:rPr>
            </w:pPr>
            <w:r w:rsidRPr="006D26AA">
              <w:rPr>
                <w:rFonts w:asciiTheme="majorBidi" w:hAnsiTheme="majorBidi" w:cstheme="majorBidi"/>
                <w:b/>
                <w:bCs/>
                <w:sz w:val="24"/>
                <w:szCs w:val="24"/>
              </w:rPr>
              <w:t xml:space="preserve">Connectivity </w:t>
            </w:r>
          </w:p>
          <w:p w:rsidR="006D26AA" w:rsidRDefault="006D26AA" w:rsidP="00C73E64">
            <w:pPr>
              <w:rPr>
                <w:rFonts w:asciiTheme="majorBidi" w:hAnsiTheme="majorBidi" w:cstheme="majorBidi"/>
                <w:sz w:val="24"/>
                <w:szCs w:val="24"/>
              </w:rPr>
            </w:pPr>
            <w:r>
              <w:rPr>
                <w:rFonts w:asciiTheme="majorBidi" w:hAnsiTheme="majorBidi" w:cstheme="majorBidi"/>
                <w:sz w:val="24"/>
                <w:szCs w:val="24"/>
              </w:rPr>
              <w:t>Representation</w:t>
            </w:r>
          </w:p>
        </w:tc>
      </w:tr>
    </w:tbl>
    <w:p w:rsidR="006D26AA" w:rsidRDefault="00184A34" w:rsidP="006D26AA">
      <w:pPr>
        <w:rPr>
          <w:rFonts w:asciiTheme="majorBidi" w:hAnsiTheme="majorBidi" w:cstheme="majorBidi"/>
          <w:sz w:val="24"/>
          <w:szCs w:val="24"/>
        </w:rPr>
      </w:pPr>
      <w:r>
        <w:rPr>
          <w:rFonts w:asciiTheme="majorBidi" w:hAnsiTheme="majorBidi" w:cstheme="majorBidi"/>
          <w:sz w:val="24"/>
          <w:szCs w:val="24"/>
        </w:rPr>
        <w:t xml:space="preserve"> </w:t>
      </w:r>
    </w:p>
    <w:p w:rsidR="006D26AA" w:rsidRDefault="006D26AA" w:rsidP="005E73BC">
      <w:pPr>
        <w:rPr>
          <w:rFonts w:asciiTheme="majorBidi" w:hAnsiTheme="majorBidi" w:cstheme="majorBidi"/>
          <w:sz w:val="24"/>
          <w:szCs w:val="24"/>
        </w:rPr>
      </w:pPr>
      <w:r>
        <w:rPr>
          <w:rFonts w:asciiTheme="majorBidi" w:hAnsiTheme="majorBidi" w:cstheme="majorBidi"/>
          <w:sz w:val="24"/>
          <w:szCs w:val="24"/>
        </w:rPr>
        <w:t xml:space="preserve">Common affordances between </w:t>
      </w:r>
      <w:proofErr w:type="spellStart"/>
      <w:r>
        <w:rPr>
          <w:rFonts w:asciiTheme="majorBidi" w:hAnsiTheme="majorBidi" w:cstheme="majorBidi"/>
          <w:sz w:val="24"/>
          <w:szCs w:val="24"/>
        </w:rPr>
        <w:t>Klopfer</w:t>
      </w:r>
      <w:proofErr w:type="spellEnd"/>
      <w:r>
        <w:rPr>
          <w:rFonts w:asciiTheme="majorBidi" w:hAnsiTheme="majorBidi" w:cstheme="majorBidi"/>
          <w:sz w:val="24"/>
          <w:szCs w:val="24"/>
        </w:rPr>
        <w:t xml:space="preserve"> et al and Song and Fox are highlighted. It is obvious that the technology advances in handheld devices developed further affordances for these tools that </w:t>
      </w:r>
      <w:r>
        <w:rPr>
          <w:rFonts w:asciiTheme="majorBidi" w:hAnsiTheme="majorBidi" w:cstheme="majorBidi"/>
          <w:sz w:val="24"/>
          <w:szCs w:val="24"/>
        </w:rPr>
        <w:lastRenderedPageBreak/>
        <w:t xml:space="preserve">were not evident in the existing 2002 handheld devices. </w:t>
      </w:r>
      <w:r w:rsidR="005E73BC">
        <w:rPr>
          <w:rFonts w:asciiTheme="majorBidi" w:hAnsiTheme="majorBidi" w:cstheme="majorBidi"/>
          <w:sz w:val="24"/>
          <w:szCs w:val="24"/>
        </w:rPr>
        <w:t>Even the social interactivity tools such as MSN, emails, SMS, that Song and Fox mention seem outdated with the emerging technologies</w:t>
      </w:r>
      <w:r w:rsidR="002C5D58">
        <w:rPr>
          <w:rFonts w:asciiTheme="majorBidi" w:hAnsiTheme="majorBidi" w:cstheme="majorBidi"/>
          <w:sz w:val="24"/>
          <w:szCs w:val="24"/>
        </w:rPr>
        <w:t xml:space="preserve"> such as iPhones and </w:t>
      </w:r>
      <w:proofErr w:type="spellStart"/>
      <w:r w:rsidR="002C5D58">
        <w:rPr>
          <w:rFonts w:asciiTheme="majorBidi" w:hAnsiTheme="majorBidi" w:cstheme="majorBidi"/>
          <w:sz w:val="24"/>
          <w:szCs w:val="24"/>
        </w:rPr>
        <w:t>iPads</w:t>
      </w:r>
      <w:proofErr w:type="spellEnd"/>
      <w:r w:rsidR="005E73BC">
        <w:rPr>
          <w:rFonts w:asciiTheme="majorBidi" w:hAnsiTheme="majorBidi" w:cstheme="majorBidi"/>
          <w:sz w:val="24"/>
          <w:szCs w:val="24"/>
        </w:rPr>
        <w:t xml:space="preserve"> that we are using nowadays. Other affordances such as maps, learning applications, and social interaction Web 2.0 tools represent affordances of current handheld devices.  </w:t>
      </w:r>
    </w:p>
    <w:p w:rsidR="002C5D58" w:rsidRPr="002C5D58" w:rsidRDefault="002C5D58" w:rsidP="005E73BC">
      <w:pPr>
        <w:rPr>
          <w:rFonts w:asciiTheme="majorBidi" w:hAnsiTheme="majorBidi" w:cstheme="majorBidi"/>
          <w:b/>
          <w:bCs/>
          <w:sz w:val="24"/>
          <w:szCs w:val="24"/>
        </w:rPr>
      </w:pPr>
      <w:r w:rsidRPr="002C5D58">
        <w:rPr>
          <w:rFonts w:asciiTheme="majorBidi" w:hAnsiTheme="majorBidi" w:cstheme="majorBidi"/>
          <w:b/>
          <w:bCs/>
          <w:sz w:val="24"/>
          <w:szCs w:val="24"/>
        </w:rPr>
        <w:t>Social Affordances and Digital Affordances</w:t>
      </w:r>
    </w:p>
    <w:p w:rsidR="006D26AA" w:rsidRPr="00184A34" w:rsidRDefault="002C5D58" w:rsidP="005A5B1A">
      <w:pPr>
        <w:rPr>
          <w:rFonts w:asciiTheme="majorBidi" w:hAnsiTheme="majorBidi" w:cstheme="majorBidi"/>
          <w:sz w:val="24"/>
          <w:szCs w:val="24"/>
        </w:rPr>
      </w:pPr>
      <w:r>
        <w:rPr>
          <w:rFonts w:asciiTheme="majorBidi" w:hAnsiTheme="majorBidi" w:cstheme="majorBidi"/>
          <w:sz w:val="24"/>
          <w:szCs w:val="24"/>
        </w:rPr>
        <w:t xml:space="preserve">I liked </w:t>
      </w:r>
      <w:proofErr w:type="spellStart"/>
      <w:r>
        <w:rPr>
          <w:rFonts w:asciiTheme="majorBidi" w:hAnsiTheme="majorBidi" w:cstheme="majorBidi"/>
          <w:sz w:val="24"/>
          <w:szCs w:val="24"/>
        </w:rPr>
        <w:t>Allaire</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al’s</w:t>
      </w:r>
      <w:proofErr w:type="spellEnd"/>
      <w:r>
        <w:rPr>
          <w:rFonts w:asciiTheme="majorBidi" w:hAnsiTheme="majorBidi" w:cstheme="majorBidi"/>
          <w:sz w:val="24"/>
          <w:szCs w:val="24"/>
        </w:rPr>
        <w:t xml:space="preserve"> (2011) definition of social affordances and digital affordances. It was </w:t>
      </w:r>
      <w:r w:rsidR="00A45529">
        <w:rPr>
          <w:rFonts w:asciiTheme="majorBidi" w:hAnsiTheme="majorBidi" w:cstheme="majorBidi"/>
          <w:sz w:val="24"/>
          <w:szCs w:val="24"/>
        </w:rPr>
        <w:t xml:space="preserve">a </w:t>
      </w:r>
      <w:proofErr w:type="spellStart"/>
      <w:r w:rsidR="00A45529">
        <w:rPr>
          <w:rFonts w:asciiTheme="majorBidi" w:hAnsiTheme="majorBidi" w:cstheme="majorBidi"/>
          <w:sz w:val="24"/>
          <w:szCs w:val="24"/>
        </w:rPr>
        <w:t xml:space="preserve">well </w:t>
      </w:r>
      <w:r>
        <w:rPr>
          <w:rFonts w:asciiTheme="majorBidi" w:hAnsiTheme="majorBidi" w:cstheme="majorBidi"/>
          <w:sz w:val="24"/>
          <w:szCs w:val="24"/>
        </w:rPr>
        <w:t>articulated</w:t>
      </w:r>
      <w:proofErr w:type="spellEnd"/>
      <w:r w:rsidR="00A45529">
        <w:rPr>
          <w:rFonts w:asciiTheme="majorBidi" w:hAnsiTheme="majorBidi" w:cstheme="majorBidi"/>
          <w:sz w:val="24"/>
          <w:szCs w:val="24"/>
        </w:rPr>
        <w:t xml:space="preserve"> elaboration on Gibson’s definition of affordances</w:t>
      </w:r>
      <w:r>
        <w:rPr>
          <w:rFonts w:asciiTheme="majorBidi" w:hAnsiTheme="majorBidi" w:cstheme="majorBidi"/>
          <w:sz w:val="24"/>
          <w:szCs w:val="24"/>
        </w:rPr>
        <w:t xml:space="preserve">. </w:t>
      </w:r>
      <w:r w:rsidR="008A74EA">
        <w:rPr>
          <w:rFonts w:asciiTheme="majorBidi" w:hAnsiTheme="majorBidi" w:cstheme="majorBidi"/>
          <w:sz w:val="24"/>
          <w:szCs w:val="24"/>
        </w:rPr>
        <w:t xml:space="preserve">Social affordances are defined as “human-human interactions mediated by technology,” whereas digital affordances “refer to human-machine interactions that support the reflective and knowledge building process” (p.3). </w:t>
      </w:r>
      <w:r w:rsidR="00567B49">
        <w:rPr>
          <w:rFonts w:asciiTheme="majorBidi" w:hAnsiTheme="majorBidi" w:cstheme="majorBidi"/>
          <w:sz w:val="24"/>
          <w:szCs w:val="24"/>
        </w:rPr>
        <w:t xml:space="preserve">Their study showed that social affordances appealed more to pre-service teachers in the beginning of the study. </w:t>
      </w:r>
      <w:r w:rsidR="005A5B1A">
        <w:rPr>
          <w:rFonts w:asciiTheme="majorBidi" w:hAnsiTheme="majorBidi" w:cstheme="majorBidi"/>
          <w:sz w:val="24"/>
          <w:szCs w:val="24"/>
        </w:rPr>
        <w:t>Song and Fox (2007) also highlight Social interaction as a handheld device affordance. Even participants in this research noted the importance and practicality of social interaction when using handheld devices. The articles yield</w:t>
      </w:r>
      <w:r w:rsidR="00572438">
        <w:rPr>
          <w:rFonts w:asciiTheme="majorBidi" w:hAnsiTheme="majorBidi" w:cstheme="majorBidi"/>
          <w:sz w:val="24"/>
          <w:szCs w:val="24"/>
        </w:rPr>
        <w:t xml:space="preserve"> interesting finding</w:t>
      </w:r>
      <w:r w:rsidR="005A5B1A">
        <w:rPr>
          <w:rFonts w:asciiTheme="majorBidi" w:hAnsiTheme="majorBidi" w:cstheme="majorBidi"/>
          <w:sz w:val="24"/>
          <w:szCs w:val="24"/>
        </w:rPr>
        <w:t>s</w:t>
      </w:r>
      <w:r w:rsidR="00572438">
        <w:rPr>
          <w:rFonts w:asciiTheme="majorBidi" w:hAnsiTheme="majorBidi" w:cstheme="majorBidi"/>
          <w:sz w:val="24"/>
          <w:szCs w:val="24"/>
        </w:rPr>
        <w:t xml:space="preserve"> for our CATS; I think that including “Interaction” as a main category should be emphasized since social interaction plays an important ro</w:t>
      </w:r>
      <w:r w:rsidR="005A5B1A">
        <w:rPr>
          <w:rFonts w:asciiTheme="majorBidi" w:hAnsiTheme="majorBidi" w:cstheme="majorBidi"/>
          <w:sz w:val="24"/>
          <w:szCs w:val="24"/>
        </w:rPr>
        <w:t>le in knowledge building as both studies suggest</w:t>
      </w:r>
      <w:bookmarkStart w:id="0" w:name="_GoBack"/>
      <w:bookmarkEnd w:id="0"/>
      <w:r w:rsidR="00572438">
        <w:rPr>
          <w:rFonts w:asciiTheme="majorBidi" w:hAnsiTheme="majorBidi" w:cstheme="majorBidi"/>
          <w:sz w:val="24"/>
          <w:szCs w:val="24"/>
        </w:rPr>
        <w:t xml:space="preserve">. </w:t>
      </w:r>
    </w:p>
    <w:p w:rsidR="00A0676A" w:rsidRPr="00184A34" w:rsidRDefault="00A0676A" w:rsidP="00A549B4">
      <w:pPr>
        <w:rPr>
          <w:rFonts w:asciiTheme="majorBidi" w:hAnsiTheme="majorBidi" w:cstheme="majorBidi"/>
          <w:sz w:val="24"/>
          <w:szCs w:val="24"/>
        </w:rPr>
      </w:pPr>
    </w:p>
    <w:sectPr w:rsidR="00A0676A" w:rsidRPr="0018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D8"/>
    <w:rsid w:val="001133D8"/>
    <w:rsid w:val="00184A34"/>
    <w:rsid w:val="001D210C"/>
    <w:rsid w:val="00247E67"/>
    <w:rsid w:val="002C5D58"/>
    <w:rsid w:val="004B31C1"/>
    <w:rsid w:val="00567B49"/>
    <w:rsid w:val="00572438"/>
    <w:rsid w:val="005A5B1A"/>
    <w:rsid w:val="005E73BC"/>
    <w:rsid w:val="006847E2"/>
    <w:rsid w:val="006D26AA"/>
    <w:rsid w:val="007C4638"/>
    <w:rsid w:val="008A74EA"/>
    <w:rsid w:val="00A0676A"/>
    <w:rsid w:val="00A45529"/>
    <w:rsid w:val="00A549B4"/>
    <w:rsid w:val="00C73E64"/>
    <w:rsid w:val="00F43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4</cp:revision>
  <dcterms:created xsi:type="dcterms:W3CDTF">2011-11-11T01:50:00Z</dcterms:created>
  <dcterms:modified xsi:type="dcterms:W3CDTF">2011-11-14T20:37:00Z</dcterms:modified>
</cp:coreProperties>
</file>